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90bis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DD555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9</w:t>
      </w:r>
      <w:r w:rsidR="00F231E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27038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4102</w:t>
      </w:r>
    </w:p>
    <w:p w:rsidR="00841BCD" w:rsidRPr="00841BCD" w:rsidRDefault="00DD555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231E7">
        <w:rPr>
          <w:rFonts w:ascii="Arial" w:eastAsia="Calibri" w:hAnsi="Arial" w:cs="Arial"/>
          <w:b/>
          <w:bCs/>
          <w:sz w:val="24"/>
          <w:lang w:val="en-GB"/>
        </w:rPr>
        <w:t xml:space="preserve">Demodulation performance for NPRACH </w:t>
      </w:r>
      <w:r w:rsidR="007E448E">
        <w:rPr>
          <w:rFonts w:ascii="Arial" w:eastAsia="Calibri" w:hAnsi="Arial" w:cs="Arial"/>
          <w:b/>
          <w:bCs/>
          <w:sz w:val="24"/>
          <w:lang w:val="en-GB"/>
        </w:rPr>
        <w:t>T</w:t>
      </w:r>
      <w:r w:rsidR="00F231E7">
        <w:rPr>
          <w:rFonts w:ascii="Arial" w:eastAsia="Calibri" w:hAnsi="Arial" w:cs="Arial"/>
          <w:b/>
          <w:bCs/>
          <w:sz w:val="24"/>
          <w:lang w:val="en-GB"/>
        </w:rPr>
        <w:t>DD preamble format</w:t>
      </w:r>
      <w:r w:rsidR="007E448E">
        <w:rPr>
          <w:rFonts w:ascii="Arial" w:eastAsia="Calibri" w:hAnsi="Arial" w:cs="Arial"/>
          <w:b/>
          <w:bCs/>
          <w:sz w:val="24"/>
          <w:lang w:val="en-GB"/>
        </w:rPr>
        <w:t>s</w:t>
      </w:r>
      <w:r w:rsidR="00F231E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B3D00">
        <w:rPr>
          <w:rFonts w:ascii="Arial" w:eastAsia="MS Mincho" w:hAnsi="Arial" w:cs="Arial"/>
          <w:b/>
          <w:bCs/>
          <w:sz w:val="24"/>
          <w:szCs w:val="20"/>
          <w:lang w:val="en-GB"/>
        </w:rPr>
        <w:t>5.3.</w:t>
      </w:r>
      <w:r w:rsidR="00C562E9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bookmarkStart w:id="3" w:name="_GoBack"/>
      <w:bookmarkEnd w:id="3"/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231E7" w:rsidRPr="00F231E7">
        <w:rPr>
          <w:rFonts w:ascii="Arial" w:eastAsia="Calibri" w:hAnsi="Arial" w:cs="Arial"/>
          <w:b/>
          <w:bCs/>
          <w:sz w:val="24"/>
          <w:lang w:val="en-GB"/>
        </w:rPr>
        <w:t>Agreement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F231E7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Preliminary </w:t>
      </w:r>
      <w:r w:rsidRPr="00355D13">
        <w:t>missed detection requirements</w:t>
      </w:r>
      <w:r>
        <w:rPr>
          <w:rFonts w:eastAsia="Calibri" w:cs="Times New Roman"/>
          <w:szCs w:val="20"/>
          <w:lang w:val="en-GB"/>
        </w:rPr>
        <w:t xml:space="preserve"> for NPRACH </w:t>
      </w:r>
      <w:r w:rsidR="007E448E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DD preamble format</w:t>
      </w:r>
      <w:r w:rsidR="007E448E">
        <w:rPr>
          <w:rFonts w:eastAsia="Calibri" w:cs="Times New Roman"/>
          <w:szCs w:val="20"/>
          <w:lang w:val="en-GB"/>
        </w:rPr>
        <w:t>s 0, 1, 0-a and 1-a</w:t>
      </w:r>
      <w:r>
        <w:rPr>
          <w:rFonts w:eastAsia="Calibri" w:cs="Times New Roman"/>
          <w:szCs w:val="20"/>
          <w:lang w:val="en-GB"/>
        </w:rPr>
        <w:t xml:space="preserve"> were agreed at RAN4 #90 in [1]. </w:t>
      </w:r>
    </w:p>
    <w:p w:rsidR="006F28AC" w:rsidRDefault="00F231E7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contribution lists the proposals for performance requirements from the sourcing companies</w:t>
      </w:r>
      <w:r w:rsidR="006F28AC">
        <w:rPr>
          <w:rFonts w:eastAsia="Calibri" w:cs="Times New Roman"/>
          <w:szCs w:val="20"/>
          <w:lang w:val="en-GB"/>
        </w:rPr>
        <w:t xml:space="preserve"> based on simulation results and provides a reasoning for the deviation from the preliminary requirements.</w:t>
      </w:r>
    </w:p>
    <w:p w:rsidR="002C2D19" w:rsidRDefault="006F28AC" w:rsidP="006F28AC">
      <w:pPr>
        <w:pStyle w:val="RAN4H1"/>
      </w:pPr>
      <w:r>
        <w:t xml:space="preserve">Simulation results </w:t>
      </w:r>
    </w:p>
    <w:p w:rsidR="006F28AC" w:rsidRDefault="006F28AC" w:rsidP="006F28AC">
      <w:pPr>
        <w:rPr>
          <w:lang w:val="en-GB"/>
        </w:rPr>
      </w:pPr>
      <w:r>
        <w:rPr>
          <w:lang w:val="en-GB"/>
        </w:rPr>
        <w:t xml:space="preserve">Simulations were carried out for NPRACH </w:t>
      </w:r>
      <w:r w:rsidR="00B20B2E">
        <w:rPr>
          <w:lang w:val="en-GB"/>
        </w:rPr>
        <w:t>T</w:t>
      </w:r>
      <w:r>
        <w:rPr>
          <w:lang w:val="en-GB"/>
        </w:rPr>
        <w:t>DD preamble format</w:t>
      </w:r>
      <w:r w:rsidR="00B20B2E">
        <w:rPr>
          <w:lang w:val="en-GB"/>
        </w:rPr>
        <w:t xml:space="preserve">s 0, 1, 0-a and 1-a </w:t>
      </w:r>
      <w:r>
        <w:rPr>
          <w:lang w:val="en-GB"/>
        </w:rPr>
        <w:t xml:space="preserve">as specified in 3GPP TS 36.211. The results including impairments are shown in Table </w:t>
      </w:r>
      <w:r w:rsidR="00062CF3">
        <w:rPr>
          <w:lang w:val="en-GB"/>
        </w:rPr>
        <w:t>1.</w:t>
      </w:r>
    </w:p>
    <w:p w:rsidR="006F28AC" w:rsidRDefault="006F28AC" w:rsidP="006F28AC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Simulation results for </w:t>
      </w:r>
      <w:r w:rsidRPr="00355D13">
        <w:t>missed detection</w:t>
      </w:r>
      <w:r>
        <w:rPr>
          <w:rFonts w:eastAsia="Calibri" w:cs="Times New Roman"/>
          <w:szCs w:val="20"/>
          <w:lang w:val="en-GB"/>
        </w:rPr>
        <w:t xml:space="preserve"> for NPRACH </w:t>
      </w:r>
      <w:r w:rsidR="00B20B2E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DD preamble</w:t>
      </w:r>
      <w:r w:rsidR="00B20B2E">
        <w:rPr>
          <w:rFonts w:eastAsia="Calibri" w:cs="Times New Roman"/>
          <w:szCs w:val="20"/>
          <w:lang w:val="en-GB"/>
        </w:rPr>
        <w:t xml:space="preserve"> formats 0, 1, 0-a and 1-a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08"/>
        <w:gridCol w:w="1096"/>
        <w:gridCol w:w="1268"/>
        <w:gridCol w:w="1127"/>
        <w:gridCol w:w="1027"/>
        <w:gridCol w:w="1027"/>
        <w:gridCol w:w="1027"/>
        <w:gridCol w:w="1029"/>
      </w:tblGrid>
      <w:tr w:rsidR="00B20B2E" w:rsidRPr="00CF7493" w:rsidTr="00B20B2E">
        <w:tc>
          <w:tcPr>
            <w:tcW w:w="524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524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70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F7493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659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86" w:type="pct"/>
            <w:vMerge w:val="restar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2138" w:type="pct"/>
            <w:gridSpan w:val="4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B20B2E" w:rsidRPr="00CF7493" w:rsidTr="00B20B2E">
        <w:tc>
          <w:tcPr>
            <w:tcW w:w="524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4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70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9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6" w:type="pct"/>
            <w:vMerge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4" w:type="pc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34" w:type="pc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CF7493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34" w:type="pc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537" w:type="pct"/>
          </w:tcPr>
          <w:p w:rsidR="00B20B2E" w:rsidRPr="00CF7493" w:rsidRDefault="00B20B2E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B20B2E" w:rsidTr="00B20B2E">
        <w:tc>
          <w:tcPr>
            <w:tcW w:w="524" w:type="pct"/>
            <w:vMerge w:val="restar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524" w:type="pct"/>
            <w:vMerge w:val="restar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70" w:type="pct"/>
            <w:vMerge w:val="restar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659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6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5.7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2.8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4.5</w:t>
            </w:r>
          </w:p>
        </w:tc>
        <w:tc>
          <w:tcPr>
            <w:tcW w:w="537" w:type="pct"/>
            <w:vAlign w:val="center"/>
          </w:tcPr>
          <w:p w:rsidR="00B20B2E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1.5</w:t>
            </w:r>
          </w:p>
        </w:tc>
      </w:tr>
      <w:tr w:rsidR="00B20B2E" w:rsidTr="00B20B2E"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9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6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14.6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10.2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12.9</w:t>
            </w:r>
          </w:p>
        </w:tc>
        <w:tc>
          <w:tcPr>
            <w:tcW w:w="537" w:type="pct"/>
            <w:vAlign w:val="center"/>
          </w:tcPr>
          <w:p w:rsidR="00B20B2E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9.2</w:t>
            </w:r>
          </w:p>
        </w:tc>
      </w:tr>
      <w:tr w:rsidR="00B20B2E" w:rsidTr="00B20B2E"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 w:val="restar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659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6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1.2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-1.8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-0.3</w:t>
            </w:r>
          </w:p>
        </w:tc>
        <w:tc>
          <w:tcPr>
            <w:tcW w:w="537" w:type="pct"/>
            <w:vAlign w:val="center"/>
          </w:tcPr>
          <w:p w:rsidR="00B20B2E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-3.3</w:t>
            </w:r>
          </w:p>
        </w:tc>
      </w:tr>
      <w:tr w:rsidR="00B20B2E" w:rsidTr="00B20B2E"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4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70" w:type="pct"/>
            <w:vMerge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9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6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3.8</w:t>
            </w:r>
          </w:p>
        </w:tc>
        <w:tc>
          <w:tcPr>
            <w:tcW w:w="534" w:type="pct"/>
            <w:vAlign w:val="center"/>
          </w:tcPr>
          <w:p w:rsidR="00B20B2E" w:rsidRPr="00CF7493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7.9</w:t>
            </w:r>
          </w:p>
        </w:tc>
        <w:tc>
          <w:tcPr>
            <w:tcW w:w="537" w:type="pct"/>
            <w:vAlign w:val="center"/>
          </w:tcPr>
          <w:p w:rsidR="00B20B2E" w:rsidRDefault="00B20B2E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2.7</w:t>
            </w:r>
          </w:p>
        </w:tc>
      </w:tr>
    </w:tbl>
    <w:p w:rsidR="00B20B2E" w:rsidRDefault="00B20B2E" w:rsidP="006F28AC">
      <w:pPr>
        <w:rPr>
          <w:lang w:eastAsia="zh-CN"/>
        </w:rPr>
      </w:pPr>
    </w:p>
    <w:p w:rsidR="00D358A6" w:rsidRDefault="00D358A6" w:rsidP="00D358A6">
      <w:pPr>
        <w:pStyle w:val="RAN4H1"/>
      </w:pPr>
      <w:r>
        <w:t>Discussion</w:t>
      </w:r>
    </w:p>
    <w:p w:rsidR="005D4B8B" w:rsidRDefault="005D4B8B" w:rsidP="005D4B8B">
      <w:pPr>
        <w:pStyle w:val="RAN4H2"/>
        <w:rPr>
          <w:lang w:eastAsia="zh-CN"/>
        </w:rPr>
      </w:pPr>
      <w:r>
        <w:rPr>
          <w:lang w:eastAsia="zh-CN"/>
        </w:rPr>
        <w:t>Performance Comparison</w:t>
      </w:r>
    </w:p>
    <w:p w:rsidR="00D358A6" w:rsidRDefault="00062CF3" w:rsidP="006F28AC">
      <w:pPr>
        <w:rPr>
          <w:lang w:eastAsia="zh-CN"/>
        </w:rPr>
      </w:pPr>
      <w:r>
        <w:rPr>
          <w:lang w:eastAsia="zh-CN"/>
        </w:rPr>
        <w:t>The above results are compared to preliminary performance requirements in 3</w:t>
      </w:r>
      <w:r w:rsidR="004E006D">
        <w:rPr>
          <w:lang w:eastAsia="zh-CN"/>
        </w:rPr>
        <w:t xml:space="preserve">6.104 </w:t>
      </w:r>
      <w:r w:rsidR="0095560C">
        <w:rPr>
          <w:lang w:eastAsia="zh-CN"/>
        </w:rPr>
        <w:t xml:space="preserve">as </w:t>
      </w:r>
      <w:r w:rsidR="004E006D">
        <w:rPr>
          <w:lang w:eastAsia="zh-CN"/>
        </w:rPr>
        <w:t xml:space="preserve">shown in </w:t>
      </w:r>
      <w:r>
        <w:rPr>
          <w:lang w:eastAsia="zh-CN"/>
        </w:rPr>
        <w:t xml:space="preserve">Table 2.  </w:t>
      </w:r>
    </w:p>
    <w:p w:rsidR="00062CF3" w:rsidRDefault="00062CF3" w:rsidP="00062CF3">
      <w:pPr>
        <w:pStyle w:val="Caption"/>
        <w:keepNext/>
        <w:rPr>
          <w:rFonts w:eastAsia="Calibri" w:cs="Times New Roman"/>
          <w:szCs w:val="20"/>
          <w:lang w:val="en-GB"/>
        </w:rPr>
      </w:pPr>
      <w:r>
        <w:t xml:space="preserve">Table </w:t>
      </w:r>
      <w:r>
        <w:rPr>
          <w:noProof/>
        </w:rPr>
        <w:t>2</w:t>
      </w:r>
      <w:r>
        <w:t xml:space="preserve">: </w:t>
      </w:r>
      <w:r w:rsidR="0095560C">
        <w:t>P</w:t>
      </w:r>
      <w:r>
        <w:rPr>
          <w:rFonts w:eastAsia="Calibri" w:cs="Times New Roman"/>
          <w:szCs w:val="20"/>
          <w:lang w:val="en-GB"/>
        </w:rPr>
        <w:t xml:space="preserve">reliminary requirement for NPRACH </w:t>
      </w:r>
      <w:r w:rsidR="0095560C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DD preamble format</w:t>
      </w:r>
      <w:r w:rsidR="0095560C">
        <w:rPr>
          <w:rFonts w:eastAsia="Calibri" w:cs="Times New Roman"/>
          <w:szCs w:val="20"/>
          <w:lang w:val="en-GB"/>
        </w:rPr>
        <w:t>s 0, 1, 0-a and 1-a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32"/>
      </w:tblGrid>
      <w:tr w:rsidR="0095560C" w:rsidRPr="00CF7493" w:rsidTr="00B3283F">
        <w:tc>
          <w:tcPr>
            <w:tcW w:w="523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523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69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F7493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658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85" w:type="pct"/>
            <w:vMerge w:val="restar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2142" w:type="pct"/>
            <w:gridSpan w:val="4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95560C" w:rsidRPr="00CF7493" w:rsidTr="00B3283F">
        <w:tc>
          <w:tcPr>
            <w:tcW w:w="523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3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9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8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5" w:type="pct"/>
            <w:vMerge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3" w:type="pc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33" w:type="pc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CF7493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33" w:type="pc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0-a</w:t>
            </w:r>
          </w:p>
        </w:tc>
        <w:tc>
          <w:tcPr>
            <w:tcW w:w="542" w:type="pct"/>
          </w:tcPr>
          <w:p w:rsidR="0095560C" w:rsidRPr="00CF7493" w:rsidRDefault="0095560C" w:rsidP="00B3283F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>
              <w:rPr>
                <w:rFonts w:cs="Arial"/>
                <w:bCs/>
                <w:szCs w:val="18"/>
                <w:lang w:eastAsia="ja-JP"/>
              </w:rPr>
              <w:t>1-a</w:t>
            </w:r>
          </w:p>
        </w:tc>
      </w:tr>
      <w:tr w:rsidR="0095560C" w:rsidTr="00B3283F">
        <w:tc>
          <w:tcPr>
            <w:tcW w:w="523" w:type="pct"/>
            <w:vMerge w:val="restar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523" w:type="pct"/>
            <w:vMerge w:val="restar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69" w:type="pct"/>
            <w:vMerge w:val="restar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658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5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[-17.8]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[-20.4]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[-19.3]</w:t>
            </w:r>
          </w:p>
        </w:tc>
        <w:tc>
          <w:tcPr>
            <w:tcW w:w="542" w:type="pct"/>
            <w:vAlign w:val="center"/>
          </w:tcPr>
          <w:p w:rsidR="0095560C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[-23.0]</w:t>
            </w:r>
          </w:p>
        </w:tc>
      </w:tr>
      <w:tr w:rsidR="0095560C" w:rsidTr="00B3283F"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[-8.6]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[-11.1]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[-9.5]</w:t>
            </w:r>
          </w:p>
        </w:tc>
        <w:tc>
          <w:tcPr>
            <w:tcW w:w="542" w:type="pct"/>
            <w:vAlign w:val="center"/>
          </w:tcPr>
          <w:p w:rsidR="0095560C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[-13.3]</w:t>
            </w:r>
          </w:p>
        </w:tc>
      </w:tr>
      <w:tr w:rsidR="0095560C" w:rsidTr="00B3283F"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658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85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[-20.2]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[-22.8]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[-20.1]</w:t>
            </w:r>
          </w:p>
        </w:tc>
        <w:tc>
          <w:tcPr>
            <w:tcW w:w="542" w:type="pct"/>
            <w:vAlign w:val="center"/>
          </w:tcPr>
          <w:p w:rsidR="0095560C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[-23.0]</w:t>
            </w:r>
          </w:p>
        </w:tc>
      </w:tr>
      <w:tr w:rsidR="0095560C" w:rsidTr="00B3283F"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[-13.6]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[-17.5]</w:t>
            </w:r>
          </w:p>
        </w:tc>
        <w:tc>
          <w:tcPr>
            <w:tcW w:w="533" w:type="pct"/>
            <w:vAlign w:val="center"/>
          </w:tcPr>
          <w:p w:rsidR="0095560C" w:rsidRPr="00CF7493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[-13.3]</w:t>
            </w:r>
          </w:p>
        </w:tc>
        <w:tc>
          <w:tcPr>
            <w:tcW w:w="542" w:type="pct"/>
            <w:vAlign w:val="center"/>
          </w:tcPr>
          <w:p w:rsidR="0095560C" w:rsidRDefault="0095560C" w:rsidP="00B3283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[-17.7]</w:t>
            </w:r>
          </w:p>
        </w:tc>
      </w:tr>
    </w:tbl>
    <w:p w:rsidR="0095560C" w:rsidRPr="0095560C" w:rsidRDefault="0095560C" w:rsidP="0095560C">
      <w:pPr>
        <w:rPr>
          <w:lang w:val="en-GB"/>
        </w:rPr>
      </w:pPr>
    </w:p>
    <w:p w:rsidR="0095560C" w:rsidRDefault="004E006D" w:rsidP="006F28AC">
      <w:pPr>
        <w:rPr>
          <w:lang w:val="en-GB"/>
        </w:rPr>
      </w:pPr>
      <w:r>
        <w:rPr>
          <w:lang w:val="en-GB"/>
        </w:rPr>
        <w:t xml:space="preserve">It is observed that there is a </w:t>
      </w:r>
      <w:r w:rsidR="0095560C">
        <w:rPr>
          <w:lang w:val="en-GB"/>
        </w:rPr>
        <w:t xml:space="preserve">considerable </w:t>
      </w:r>
      <w:r>
        <w:rPr>
          <w:lang w:val="en-GB"/>
        </w:rPr>
        <w:t xml:space="preserve">difference of </w:t>
      </w:r>
      <w:r w:rsidR="0095560C">
        <w:rPr>
          <w:lang w:val="en-GB"/>
        </w:rPr>
        <w:t>20 to 25 dB both for AWGN and EPA</w:t>
      </w:r>
      <w:r w:rsidR="00DB32BB">
        <w:rPr>
          <w:lang w:val="en-GB"/>
        </w:rPr>
        <w:t>1 Low</w:t>
      </w:r>
      <w:r w:rsidR="0095560C">
        <w:rPr>
          <w:lang w:val="en-GB"/>
        </w:rPr>
        <w:t xml:space="preserve"> channels. It is unclear, due to what reason NPRACH TDD preambles exhibit that good performance, captured in stringent preliminary </w:t>
      </w:r>
      <w:r w:rsidR="0095560C">
        <w:rPr>
          <w:lang w:val="en-GB"/>
        </w:rPr>
        <w:lastRenderedPageBreak/>
        <w:t xml:space="preserve">requirements, which is also superior by around 15 dB over </w:t>
      </w:r>
      <w:r w:rsidR="00DB32BB">
        <w:rPr>
          <w:lang w:val="en-GB"/>
        </w:rPr>
        <w:t xml:space="preserve">NPRACH </w:t>
      </w:r>
      <w:r w:rsidR="0095560C">
        <w:rPr>
          <w:lang w:val="en-GB"/>
        </w:rPr>
        <w:t>FDD performance, although the same modulation scheme (QPSK) is used</w:t>
      </w:r>
      <w:r w:rsidR="00DB32BB">
        <w:rPr>
          <w:lang w:val="en-GB"/>
        </w:rPr>
        <w:t xml:space="preserve"> for both</w:t>
      </w:r>
      <w:r w:rsidR="0095560C">
        <w:rPr>
          <w:lang w:val="en-GB"/>
        </w:rPr>
        <w:t>.</w:t>
      </w:r>
    </w:p>
    <w:p w:rsidR="00480EBB" w:rsidRDefault="00480EBB" w:rsidP="006F28AC">
      <w:pPr>
        <w:rPr>
          <w:lang w:val="en-GB"/>
        </w:rPr>
      </w:pPr>
      <w:r>
        <w:rPr>
          <w:lang w:val="en-GB"/>
        </w:rPr>
        <w:t xml:space="preserve">Let’s </w:t>
      </w:r>
      <w:r w:rsidR="00B03C53">
        <w:rPr>
          <w:lang w:val="en-GB"/>
        </w:rPr>
        <w:t xml:space="preserve">compare </w:t>
      </w:r>
      <w:r w:rsidR="0095560C">
        <w:rPr>
          <w:lang w:val="en-GB"/>
        </w:rPr>
        <w:t xml:space="preserve">the </w:t>
      </w:r>
      <w:r w:rsidR="005D4F5B">
        <w:rPr>
          <w:lang w:val="en-GB"/>
        </w:rPr>
        <w:t xml:space="preserve">NPRACH demodulation performance </w:t>
      </w:r>
      <w:r w:rsidR="0095560C">
        <w:rPr>
          <w:lang w:val="en-GB"/>
        </w:rPr>
        <w:t xml:space="preserve">for TDD preamble 0 against FDD preamble 0 in an analytical way. The NPRACH demodulation performance </w:t>
      </w:r>
      <w:r w:rsidR="005D4F5B">
        <w:rPr>
          <w:lang w:val="en-GB"/>
        </w:rPr>
        <w:t>is achieved by coherently combining symbols in the same symbol group and non-coherently combining symbols of different symbol groups. The non-coherent gain is assumed to be half of the coherent gain. The c</w:t>
      </w:r>
      <w:r w:rsidR="0098494A">
        <w:rPr>
          <w:lang w:val="en-GB"/>
        </w:rPr>
        <w:t>o</w:t>
      </w:r>
      <w:r w:rsidR="005D4F5B">
        <w:rPr>
          <w:lang w:val="en-GB"/>
        </w:rPr>
        <w:t>mparison</w:t>
      </w:r>
      <w:r w:rsidR="0098494A">
        <w:rPr>
          <w:lang w:val="en-GB"/>
        </w:rPr>
        <w:t xml:space="preserve"> analysis</w:t>
      </w:r>
      <w:r w:rsidR="005D4F5B">
        <w:rPr>
          <w:lang w:val="en-GB"/>
        </w:rPr>
        <w:t xml:space="preserve"> is shown in Table </w:t>
      </w:r>
      <w:r w:rsidR="0095560C">
        <w:rPr>
          <w:lang w:val="en-GB"/>
        </w:rPr>
        <w:t>3 for the AWGN channel</w:t>
      </w:r>
      <w:r w:rsidR="005D4F5B">
        <w:rPr>
          <w:lang w:val="en-GB"/>
        </w:rPr>
        <w:t xml:space="preserve">. </w:t>
      </w:r>
    </w:p>
    <w:p w:rsidR="005D4F5B" w:rsidRDefault="005D4F5B" w:rsidP="005D4F5B">
      <w:pPr>
        <w:pStyle w:val="Caption"/>
        <w:keepNext/>
      </w:pPr>
      <w:r>
        <w:t xml:space="preserve">Table </w:t>
      </w:r>
      <w:r w:rsidR="0095560C">
        <w:t>3</w:t>
      </w:r>
      <w:r>
        <w:t>: Comparison</w:t>
      </w:r>
      <w:r>
        <w:rPr>
          <w:rFonts w:eastAsia="Calibri" w:cs="Times New Roman"/>
          <w:szCs w:val="20"/>
          <w:lang w:val="en-GB"/>
        </w:rPr>
        <w:t xml:space="preserve"> of preamble gain for NPRACH preamble format 0 </w:t>
      </w:r>
      <w:r w:rsidR="00B20B2E">
        <w:rPr>
          <w:rFonts w:eastAsia="Calibri" w:cs="Times New Roman"/>
          <w:szCs w:val="20"/>
          <w:lang w:val="en-GB"/>
        </w:rPr>
        <w:t>for FDD and TDD</w:t>
      </w:r>
      <w:r>
        <w:rPr>
          <w:rFonts w:eastAsia="Calibri" w:cs="Times New Roman"/>
          <w:szCs w:val="20"/>
          <w:lang w:val="en-GB"/>
        </w:rPr>
        <w:t xml:space="preserve"> (AWGN).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2552"/>
        <w:gridCol w:w="2551"/>
      </w:tblGrid>
      <w:tr w:rsidR="00B03C53" w:rsidTr="00DB32BB">
        <w:tc>
          <w:tcPr>
            <w:tcW w:w="3964" w:type="dxa"/>
          </w:tcPr>
          <w:p w:rsidR="00B03C53" w:rsidRPr="005D4F5B" w:rsidRDefault="005D4F5B" w:rsidP="006F28A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>Parameter</w:t>
            </w:r>
          </w:p>
        </w:tc>
        <w:tc>
          <w:tcPr>
            <w:tcW w:w="2552" w:type="dxa"/>
          </w:tcPr>
          <w:p w:rsidR="00B03C53" w:rsidRPr="005D4F5B" w:rsidRDefault="00B03C53" w:rsidP="006F28A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>FDD preamble format 0</w:t>
            </w:r>
          </w:p>
        </w:tc>
        <w:tc>
          <w:tcPr>
            <w:tcW w:w="2551" w:type="dxa"/>
          </w:tcPr>
          <w:p w:rsidR="00B03C53" w:rsidRPr="005D4F5B" w:rsidRDefault="00B20B2E" w:rsidP="006F28A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</w:t>
            </w:r>
            <w:r w:rsidR="00B03C53" w:rsidRPr="005D4F5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DD preamble format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0</w:t>
            </w:r>
          </w:p>
        </w:tc>
      </w:tr>
      <w:tr w:rsidR="00B03C53" w:rsidTr="00DB32BB">
        <w:tc>
          <w:tcPr>
            <w:tcW w:w="3964" w:type="dxa"/>
          </w:tcPr>
          <w:p w:rsidR="00B03C53" w:rsidRDefault="00B03C53" w:rsidP="006F28AC">
            <w:pPr>
              <w:rPr>
                <w:lang w:val="en-GB"/>
              </w:rPr>
            </w:pPr>
            <w:r w:rsidRPr="0078558C">
              <w:t>Number of</w:t>
            </w:r>
            <w:r>
              <w:t xml:space="preserve"> symbols in symbol group N</w:t>
            </w:r>
          </w:p>
        </w:tc>
        <w:tc>
          <w:tcPr>
            <w:tcW w:w="2552" w:type="dxa"/>
          </w:tcPr>
          <w:p w:rsidR="00B03C53" w:rsidRDefault="00B03C53" w:rsidP="006F28AC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551" w:type="dxa"/>
          </w:tcPr>
          <w:p w:rsidR="00B03C53" w:rsidRDefault="00B20B2E" w:rsidP="006F28AC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B03C53" w:rsidTr="00DB32BB">
        <w:tc>
          <w:tcPr>
            <w:tcW w:w="3964" w:type="dxa"/>
          </w:tcPr>
          <w:p w:rsidR="00B03C53" w:rsidRDefault="00B03C53" w:rsidP="006F28AC">
            <w:pPr>
              <w:rPr>
                <w:lang w:val="en-GB"/>
              </w:rPr>
            </w:pPr>
            <w:r>
              <w:rPr>
                <w:lang w:val="en-GB"/>
              </w:rPr>
              <w:t xml:space="preserve">Number of symbol groups per preamble P </w:t>
            </w:r>
          </w:p>
        </w:tc>
        <w:tc>
          <w:tcPr>
            <w:tcW w:w="2552" w:type="dxa"/>
          </w:tcPr>
          <w:p w:rsidR="00B03C53" w:rsidRDefault="00B03C53" w:rsidP="006F28AC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51" w:type="dxa"/>
          </w:tcPr>
          <w:p w:rsidR="00B03C53" w:rsidRDefault="00B20B2E" w:rsidP="006F28AC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B32BB" w:rsidTr="00DB32BB">
        <w:tc>
          <w:tcPr>
            <w:tcW w:w="3964" w:type="dxa"/>
          </w:tcPr>
          <w:p w:rsidR="00DB32BB" w:rsidRDefault="00DB32BB" w:rsidP="006F28AC">
            <w:pPr>
              <w:rPr>
                <w:lang w:val="en-GB"/>
              </w:rPr>
            </w:pPr>
            <w:r>
              <w:rPr>
                <w:lang w:val="en-GB"/>
              </w:rPr>
              <w:t>Number of subcarriers in 45 kHz narrow band</w:t>
            </w:r>
          </w:p>
        </w:tc>
        <w:tc>
          <w:tcPr>
            <w:tcW w:w="2552" w:type="dxa"/>
          </w:tcPr>
          <w:p w:rsidR="00DB32BB" w:rsidRDefault="00DB32BB" w:rsidP="006F28AC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2551" w:type="dxa"/>
          </w:tcPr>
          <w:p w:rsidR="00DB32BB" w:rsidRDefault="00DB32BB" w:rsidP="006F28AC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B03C53" w:rsidTr="00DB32BB">
        <w:tc>
          <w:tcPr>
            <w:tcW w:w="3964" w:type="dxa"/>
          </w:tcPr>
          <w:p w:rsidR="00B03C53" w:rsidRDefault="00B03C53" w:rsidP="006F28AC">
            <w:pPr>
              <w:rPr>
                <w:lang w:val="en-GB"/>
              </w:rPr>
            </w:pPr>
            <w:r>
              <w:rPr>
                <w:lang w:val="en-GB"/>
              </w:rPr>
              <w:t xml:space="preserve">Coherent gain in symbol group </w:t>
            </w:r>
          </w:p>
        </w:tc>
        <w:tc>
          <w:tcPr>
            <w:tcW w:w="2552" w:type="dxa"/>
          </w:tcPr>
          <w:p w:rsidR="00B03C53" w:rsidRDefault="00B03C53" w:rsidP="006F28AC">
            <w:pPr>
              <w:rPr>
                <w:lang w:val="en-GB"/>
              </w:rPr>
            </w:pPr>
            <w:r>
              <w:rPr>
                <w:lang w:val="en-GB"/>
              </w:rPr>
              <w:t xml:space="preserve">7 dB </w:t>
            </w:r>
            <w:r w:rsidR="00351CB5">
              <w:rPr>
                <w:lang w:val="en-GB"/>
              </w:rPr>
              <w:t>(</w:t>
            </w:r>
            <w:r>
              <w:rPr>
                <w:lang w:val="en-GB"/>
              </w:rPr>
              <w:t>=10 * l</w:t>
            </w:r>
            <w:r w:rsidR="00351CB5">
              <w:rPr>
                <w:lang w:val="en-GB"/>
              </w:rPr>
              <w:t>o</w:t>
            </w:r>
            <w:r>
              <w:rPr>
                <w:lang w:val="en-GB"/>
              </w:rPr>
              <w:t>g</w:t>
            </w:r>
            <w:r w:rsidR="00351CB5">
              <w:rPr>
                <w:lang w:val="en-GB"/>
              </w:rPr>
              <w:t>10(</w:t>
            </w:r>
            <w:r>
              <w:rPr>
                <w:lang w:val="en-GB"/>
              </w:rPr>
              <w:t>5)</w:t>
            </w:r>
            <w:r w:rsidR="00351CB5">
              <w:rPr>
                <w:lang w:val="en-GB"/>
              </w:rPr>
              <w:t>)</w:t>
            </w:r>
          </w:p>
        </w:tc>
        <w:tc>
          <w:tcPr>
            <w:tcW w:w="2551" w:type="dxa"/>
          </w:tcPr>
          <w:p w:rsidR="00B03C53" w:rsidRDefault="00B20B2E" w:rsidP="006F28AC">
            <w:pPr>
              <w:rPr>
                <w:lang w:val="en-GB"/>
              </w:rPr>
            </w:pPr>
            <w:r>
              <w:rPr>
                <w:lang w:val="en-GB"/>
              </w:rPr>
              <w:t>0 dB</w:t>
            </w:r>
          </w:p>
        </w:tc>
      </w:tr>
      <w:tr w:rsidR="00B03C53" w:rsidTr="00DB32BB">
        <w:tc>
          <w:tcPr>
            <w:tcW w:w="3964" w:type="dxa"/>
          </w:tcPr>
          <w:p w:rsidR="00B03C53" w:rsidRDefault="00B03C53" w:rsidP="006F28AC">
            <w:pPr>
              <w:rPr>
                <w:lang w:val="en-GB"/>
              </w:rPr>
            </w:pPr>
            <w:r>
              <w:rPr>
                <w:lang w:val="en-GB"/>
              </w:rPr>
              <w:t>Non-coherent gain between symbol groups</w:t>
            </w:r>
          </w:p>
        </w:tc>
        <w:tc>
          <w:tcPr>
            <w:tcW w:w="2552" w:type="dxa"/>
          </w:tcPr>
          <w:p w:rsidR="00B03C53" w:rsidRDefault="00B03C53" w:rsidP="006F28AC">
            <w:pPr>
              <w:rPr>
                <w:lang w:val="en-GB"/>
              </w:rPr>
            </w:pPr>
            <w:r>
              <w:rPr>
                <w:lang w:val="en-GB"/>
              </w:rPr>
              <w:t>3 dB (= 0</w:t>
            </w:r>
            <w:r w:rsidR="00967205">
              <w:rPr>
                <w:lang w:val="en-GB"/>
              </w:rPr>
              <w:t>.</w:t>
            </w:r>
            <w:r>
              <w:rPr>
                <w:lang w:val="en-GB"/>
              </w:rPr>
              <w:t>5</w:t>
            </w:r>
            <w:r w:rsidR="005D4F5B">
              <w:rPr>
                <w:lang w:val="en-GB"/>
              </w:rPr>
              <w:t xml:space="preserve"> * 10 </w:t>
            </w:r>
            <w:r>
              <w:rPr>
                <w:lang w:val="en-GB"/>
              </w:rPr>
              <w:t>* l</w:t>
            </w:r>
            <w:r w:rsidR="00351CB5">
              <w:rPr>
                <w:lang w:val="en-GB"/>
              </w:rPr>
              <w:t>o</w:t>
            </w:r>
            <w:r>
              <w:rPr>
                <w:lang w:val="en-GB"/>
              </w:rPr>
              <w:t>g</w:t>
            </w:r>
            <w:r w:rsidR="00351CB5">
              <w:rPr>
                <w:lang w:val="en-GB"/>
              </w:rPr>
              <w:t>10(</w:t>
            </w:r>
            <w:r>
              <w:rPr>
                <w:lang w:val="en-GB"/>
              </w:rPr>
              <w:t>4)</w:t>
            </w:r>
            <w:r w:rsidR="00351CB5">
              <w:rPr>
                <w:lang w:val="en-GB"/>
              </w:rPr>
              <w:t>)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2551" w:type="dxa"/>
          </w:tcPr>
          <w:p w:rsidR="00B03C53" w:rsidRDefault="00B20B2E" w:rsidP="006F28AC">
            <w:pPr>
              <w:rPr>
                <w:lang w:val="en-GB"/>
              </w:rPr>
            </w:pPr>
            <w:r>
              <w:rPr>
                <w:lang w:val="en-GB"/>
              </w:rPr>
              <w:t>3 dB (= 0.5 * 10 * log10(4))</w:t>
            </w:r>
          </w:p>
        </w:tc>
      </w:tr>
      <w:tr w:rsidR="005D4F5B" w:rsidTr="00DB32BB">
        <w:tc>
          <w:tcPr>
            <w:tcW w:w="3964" w:type="dxa"/>
          </w:tcPr>
          <w:p w:rsidR="005D4F5B" w:rsidRDefault="005D4F5B" w:rsidP="006F28AC">
            <w:pPr>
              <w:rPr>
                <w:lang w:val="en-GB"/>
              </w:rPr>
            </w:pPr>
            <w:r>
              <w:rPr>
                <w:lang w:val="en-GB"/>
              </w:rPr>
              <w:t>Total gain of preamble over symbol</w:t>
            </w:r>
          </w:p>
        </w:tc>
        <w:tc>
          <w:tcPr>
            <w:tcW w:w="2552" w:type="dxa"/>
          </w:tcPr>
          <w:p w:rsidR="005D4F5B" w:rsidRDefault="005D4F5B" w:rsidP="006F28AC">
            <w:pPr>
              <w:rPr>
                <w:lang w:val="en-GB"/>
              </w:rPr>
            </w:pPr>
            <w:r>
              <w:rPr>
                <w:lang w:val="en-GB"/>
              </w:rPr>
              <w:t>10 dB</w:t>
            </w:r>
          </w:p>
        </w:tc>
        <w:tc>
          <w:tcPr>
            <w:tcW w:w="2551" w:type="dxa"/>
          </w:tcPr>
          <w:p w:rsidR="005D4F5B" w:rsidRDefault="00B20B2E" w:rsidP="006F28A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5D4F5B">
              <w:rPr>
                <w:lang w:val="en-GB"/>
              </w:rPr>
              <w:t xml:space="preserve"> dB</w:t>
            </w:r>
          </w:p>
        </w:tc>
      </w:tr>
    </w:tbl>
    <w:p w:rsidR="00B03C53" w:rsidRDefault="00B03C53" w:rsidP="006F28AC">
      <w:pPr>
        <w:rPr>
          <w:lang w:val="en-GB"/>
        </w:rPr>
      </w:pPr>
    </w:p>
    <w:p w:rsidR="0098494A" w:rsidRPr="006F28AC" w:rsidRDefault="005D4F5B" w:rsidP="0098494A">
      <w:pPr>
        <w:rPr>
          <w:lang w:val="en-GB"/>
        </w:rPr>
      </w:pPr>
      <w:r>
        <w:rPr>
          <w:lang w:val="en-GB"/>
        </w:rPr>
        <w:t xml:space="preserve">Table </w:t>
      </w:r>
      <w:r w:rsidR="00DB32BB">
        <w:rPr>
          <w:lang w:val="en-GB"/>
        </w:rPr>
        <w:t>3</w:t>
      </w:r>
      <w:r>
        <w:rPr>
          <w:lang w:val="en-GB"/>
        </w:rPr>
        <w:t xml:space="preserve"> depicts a difference of </w:t>
      </w:r>
      <w:r w:rsidR="00B20B2E">
        <w:rPr>
          <w:lang w:val="en-GB"/>
        </w:rPr>
        <w:t>7</w:t>
      </w:r>
      <w:r>
        <w:rPr>
          <w:lang w:val="en-GB"/>
        </w:rPr>
        <w:t xml:space="preserve"> dB </w:t>
      </w:r>
      <w:r w:rsidR="00DB32BB">
        <w:rPr>
          <w:lang w:val="en-GB"/>
        </w:rPr>
        <w:t xml:space="preserve">in the total gain </w:t>
      </w:r>
      <w:r>
        <w:rPr>
          <w:lang w:val="en-GB"/>
        </w:rPr>
        <w:t xml:space="preserve">for the above taken assumptions. This means that for AWGN channel a relative loss of </w:t>
      </w:r>
      <w:r w:rsidR="0095560C">
        <w:rPr>
          <w:lang w:val="en-GB"/>
        </w:rPr>
        <w:t>7</w:t>
      </w:r>
      <w:r>
        <w:rPr>
          <w:lang w:val="en-GB"/>
        </w:rPr>
        <w:t xml:space="preserve"> dB is observed </w:t>
      </w:r>
      <w:r w:rsidR="005D4B8B">
        <w:rPr>
          <w:lang w:val="en-GB"/>
        </w:rPr>
        <w:t xml:space="preserve">for NPRACH </w:t>
      </w:r>
      <w:r w:rsidR="0095560C">
        <w:rPr>
          <w:lang w:val="en-GB"/>
        </w:rPr>
        <w:t>T</w:t>
      </w:r>
      <w:r w:rsidR="005D4B8B">
        <w:rPr>
          <w:lang w:val="en-GB"/>
        </w:rPr>
        <w:t xml:space="preserve">DD preamble format </w:t>
      </w:r>
      <w:r w:rsidR="0095560C">
        <w:rPr>
          <w:lang w:val="en-GB"/>
        </w:rPr>
        <w:t>0</w:t>
      </w:r>
      <w:r w:rsidR="005D4B8B">
        <w:rPr>
          <w:lang w:val="en-GB"/>
        </w:rPr>
        <w:t xml:space="preserve"> </w:t>
      </w:r>
      <w:r>
        <w:rPr>
          <w:lang w:val="en-GB"/>
        </w:rPr>
        <w:t xml:space="preserve">versus NPRACH FDD preamble format 0. </w:t>
      </w:r>
      <w:r w:rsidR="005D4B8B">
        <w:rPr>
          <w:lang w:val="en-GB"/>
        </w:rPr>
        <w:t xml:space="preserve">Thus, it is not plausible to assume improved performance for NPRACH </w:t>
      </w:r>
      <w:r w:rsidR="00DB32BB">
        <w:rPr>
          <w:lang w:val="en-GB"/>
        </w:rPr>
        <w:t>T</w:t>
      </w:r>
      <w:r w:rsidR="005D4B8B">
        <w:rPr>
          <w:lang w:val="en-GB"/>
        </w:rPr>
        <w:t xml:space="preserve">DD preamble </w:t>
      </w:r>
      <w:r w:rsidR="00DB32BB">
        <w:rPr>
          <w:lang w:val="en-GB"/>
        </w:rPr>
        <w:t xml:space="preserve">0 versus NPRACH FDD preamble 0 </w:t>
      </w:r>
      <w:r w:rsidR="005D4B8B">
        <w:rPr>
          <w:lang w:val="en-GB"/>
        </w:rPr>
        <w:t xml:space="preserve">as given in the preliminary requirements. </w:t>
      </w:r>
    </w:p>
    <w:p w:rsidR="0098494A" w:rsidRDefault="0098494A" w:rsidP="0098494A">
      <w:pPr>
        <w:pStyle w:val="RAN4Observation"/>
        <w:ind w:left="0" w:firstLine="0"/>
      </w:pPr>
      <w:r>
        <w:t xml:space="preserve">It is not plausible to assume improved performance for NPRACH </w:t>
      </w:r>
      <w:r w:rsidR="00DB32BB">
        <w:t>T</w:t>
      </w:r>
      <w:r>
        <w:t xml:space="preserve">DD preamble </w:t>
      </w:r>
      <w:r w:rsidR="00DB32BB">
        <w:t>0</w:t>
      </w:r>
      <w:r>
        <w:t xml:space="preserve"> versus </w:t>
      </w:r>
      <w:r w:rsidR="00DB32BB">
        <w:t xml:space="preserve">FDD </w:t>
      </w:r>
      <w:r>
        <w:t>preamble 0 as given in the preliminary requirements.</w:t>
      </w:r>
    </w:p>
    <w:p w:rsidR="0098494A" w:rsidRPr="0098494A" w:rsidRDefault="0098494A" w:rsidP="0098494A">
      <w:pPr>
        <w:pStyle w:val="RAN4proposal"/>
        <w:ind w:left="0" w:firstLine="0"/>
      </w:pPr>
      <w:r>
        <w:t>Agree the proposed figures from Nokia in Table 1 for updated preliminary requirements.</w:t>
      </w:r>
    </w:p>
    <w:p w:rsidR="0098494A" w:rsidRDefault="0098494A" w:rsidP="006F28AC">
      <w:pPr>
        <w:rPr>
          <w:lang w:val="en-GB"/>
        </w:rPr>
      </w:pP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98494A" w:rsidRPr="0098494A" w:rsidRDefault="0098494A" w:rsidP="0098494A">
      <w:pPr>
        <w:rPr>
          <w:lang w:val="en-GB"/>
        </w:rPr>
      </w:pPr>
      <w:r>
        <w:rPr>
          <w:lang w:val="en-GB"/>
        </w:rPr>
        <w:t xml:space="preserve">This contribution lists </w:t>
      </w:r>
      <w:r>
        <w:rPr>
          <w:rFonts w:eastAsia="Calibri" w:cs="Times New Roman"/>
          <w:szCs w:val="20"/>
          <w:lang w:val="en-GB"/>
        </w:rPr>
        <w:t xml:space="preserve">our proposals for </w:t>
      </w:r>
      <w:r w:rsidR="00DB32BB">
        <w:rPr>
          <w:rFonts w:eastAsia="Calibri" w:cs="Times New Roman"/>
          <w:szCs w:val="20"/>
          <w:lang w:val="en-GB"/>
        </w:rPr>
        <w:t xml:space="preserve">NPRACH </w:t>
      </w:r>
      <w:r>
        <w:rPr>
          <w:rFonts w:eastAsia="Calibri" w:cs="Times New Roman"/>
          <w:szCs w:val="20"/>
          <w:lang w:val="en-GB"/>
        </w:rPr>
        <w:t xml:space="preserve">performance requirements for </w:t>
      </w:r>
      <w:r w:rsidR="00DB32BB">
        <w:rPr>
          <w:rFonts w:eastAsia="Calibri" w:cs="Times New Roman"/>
          <w:szCs w:val="20"/>
          <w:lang w:val="en-GB"/>
        </w:rPr>
        <w:t>T</w:t>
      </w:r>
      <w:r>
        <w:rPr>
          <w:rFonts w:eastAsia="Calibri" w:cs="Times New Roman"/>
          <w:szCs w:val="20"/>
          <w:lang w:val="en-GB"/>
        </w:rPr>
        <w:t>DD preamble</w:t>
      </w:r>
      <w:r w:rsidR="00DB32BB">
        <w:rPr>
          <w:rFonts w:eastAsia="Calibri" w:cs="Times New Roman"/>
          <w:szCs w:val="20"/>
          <w:lang w:val="en-GB"/>
        </w:rPr>
        <w:t xml:space="preserve"> formats 0,1, 0-a, 1-a</w:t>
      </w:r>
      <w:r>
        <w:rPr>
          <w:rFonts w:eastAsia="Calibri" w:cs="Times New Roman"/>
          <w:szCs w:val="20"/>
          <w:lang w:val="en-GB"/>
        </w:rPr>
        <w:t xml:space="preserve">, </w:t>
      </w:r>
      <w:r w:rsidR="00DB32BB">
        <w:rPr>
          <w:rFonts w:eastAsia="Calibri" w:cs="Times New Roman"/>
          <w:szCs w:val="20"/>
          <w:lang w:val="en-GB"/>
        </w:rPr>
        <w:t xml:space="preserve">as </w:t>
      </w:r>
      <w:r>
        <w:rPr>
          <w:rFonts w:eastAsia="Calibri" w:cs="Times New Roman"/>
          <w:szCs w:val="20"/>
          <w:lang w:val="en-GB"/>
        </w:rPr>
        <w:t>introduced in 3GPP Rel-15.</w:t>
      </w:r>
      <w:r>
        <w:rPr>
          <w:lang w:val="en-GB"/>
        </w:rPr>
        <w:t xml:space="preserve"> It is proposed to agree the following proposal:</w:t>
      </w:r>
    </w:p>
    <w:p w:rsidR="0098494A" w:rsidRPr="0098494A" w:rsidRDefault="0098494A" w:rsidP="0098494A">
      <w:pPr>
        <w:pStyle w:val="RAN4proposal"/>
        <w:numPr>
          <w:ilvl w:val="0"/>
          <w:numId w:val="21"/>
        </w:numPr>
        <w:ind w:left="1134" w:hanging="1134"/>
      </w:pPr>
      <w:r>
        <w:t>Agree the proposed figures from Nokia in Table 1 for updated preliminary requirements.</w:t>
      </w:r>
    </w:p>
    <w:p w:rsidR="0098494A" w:rsidRDefault="0098494A" w:rsidP="0098494A">
      <w:r>
        <w:t>The compan</w:t>
      </w:r>
      <w:r w:rsidR="000B3D00">
        <w:t>ion</w:t>
      </w:r>
      <w:r>
        <w:t xml:space="preserve"> CR</w:t>
      </w:r>
      <w:r w:rsidR="000B3D00">
        <w:t>s</w:t>
      </w:r>
      <w:r>
        <w:t xml:space="preserve"> </w:t>
      </w:r>
      <w:r w:rsidR="000B3D00">
        <w:t>are</w:t>
      </w:r>
      <w:r>
        <w:t xml:space="preserve"> submitted in [2]</w:t>
      </w:r>
      <w:r w:rsidR="000B3D00">
        <w:t xml:space="preserve"> and [3]</w:t>
      </w:r>
      <w:r>
        <w:t>.</w:t>
      </w:r>
    </w:p>
    <w:p w:rsidR="0098494A" w:rsidRPr="0098494A" w:rsidRDefault="0098494A" w:rsidP="0098494A"/>
    <w:p w:rsidR="003B659E" w:rsidRPr="0095295C" w:rsidRDefault="003B659E" w:rsidP="0008612A">
      <w:pPr>
        <w:pStyle w:val="RAN4H1"/>
      </w:pPr>
      <w:r w:rsidRPr="0095295C">
        <w:t>References</w:t>
      </w:r>
    </w:p>
    <w:p w:rsidR="00F231E7" w:rsidRPr="00F231E7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F231E7">
        <w:rPr>
          <w:rFonts w:eastAsia="Times New Roman" w:cs="Times New Roman"/>
          <w:szCs w:val="20"/>
          <w:lang w:val="en-GB"/>
        </w:rPr>
        <w:t>R4-1</w:t>
      </w:r>
      <w:r w:rsidR="00F231E7" w:rsidRPr="00F231E7">
        <w:rPr>
          <w:rFonts w:eastAsia="Times New Roman" w:cs="Times New Roman"/>
          <w:szCs w:val="20"/>
          <w:lang w:val="en-GB"/>
        </w:rPr>
        <w:t xml:space="preserve">902061, CR 36.104-4834 </w:t>
      </w:r>
      <w:r w:rsidR="00E51440">
        <w:fldChar w:fldCharType="begin"/>
      </w:r>
      <w:r w:rsidR="00E51440">
        <w:instrText xml:space="preserve"> DOCPROPERTY  CrTitle  \* MERGEFORMAT </w:instrText>
      </w:r>
      <w:r w:rsidR="00E51440">
        <w:fldChar w:fldCharType="separate"/>
      </w:r>
      <w:r w:rsidR="00F231E7" w:rsidRPr="00F231E7">
        <w:t>Addition of demodulation performance for new NPRACH</w:t>
      </w:r>
      <w:r w:rsidR="00E51440">
        <w:fldChar w:fldCharType="end"/>
      </w:r>
      <w:r w:rsidR="00F231E7" w:rsidRPr="00F231E7">
        <w:t xml:space="preserve"> formats, </w:t>
      </w:r>
      <w:r w:rsidR="00F231E7" w:rsidRPr="00F231E7">
        <w:rPr>
          <w:rFonts w:eastAsia="Times New Roman" w:cs="Times New Roman"/>
          <w:szCs w:val="20"/>
          <w:lang w:val="en-GB"/>
        </w:rPr>
        <w:t>Huawei, HiSilicon</w:t>
      </w:r>
    </w:p>
    <w:bookmarkEnd w:id="4"/>
    <w:p w:rsidR="0027038C" w:rsidRPr="009236C3" w:rsidRDefault="0027038C" w:rsidP="0027038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236C3">
        <w:rPr>
          <w:rFonts w:eastAsia="Times New Roman" w:cs="Times New Roman"/>
          <w:szCs w:val="20"/>
          <w:lang w:val="en-GB"/>
        </w:rPr>
        <w:t xml:space="preserve">R4-1904104, CR 36.104-4854 </w:t>
      </w:r>
      <w:r w:rsidRPr="009236C3">
        <w:t>Corrections to demodulation performance for new NPRACH formats (Rel-15)</w:t>
      </w:r>
      <w:r w:rsidRPr="009236C3">
        <w:rPr>
          <w:rFonts w:eastAsia="Times New Roman" w:cs="Times New Roman"/>
          <w:szCs w:val="20"/>
          <w:lang w:val="en-GB"/>
        </w:rPr>
        <w:t>, source: Nokia, Nokia Shanghai Bell</w:t>
      </w:r>
      <w:r w:rsidRPr="009236C3" w:rsidDel="00C651B9">
        <w:rPr>
          <w:rFonts w:eastAsia="Times New Roman" w:cs="Times New Roman"/>
          <w:szCs w:val="20"/>
          <w:lang w:val="en-GB"/>
        </w:rPr>
        <w:t xml:space="preserve"> </w:t>
      </w:r>
    </w:p>
    <w:p w:rsidR="0027038C" w:rsidRPr="009236C3" w:rsidRDefault="0027038C" w:rsidP="0027038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236C3">
        <w:rPr>
          <w:rFonts w:eastAsia="Times New Roman" w:cs="Times New Roman"/>
          <w:szCs w:val="20"/>
          <w:lang w:val="en-GB"/>
        </w:rPr>
        <w:t xml:space="preserve">R4-1904107, CR 36.141-1212 </w:t>
      </w:r>
      <w:r w:rsidRPr="009236C3">
        <w:t>Corrections to demodulation performance for new NPRACH formats</w:t>
      </w:r>
      <w:r w:rsidRPr="009236C3">
        <w:rPr>
          <w:rFonts w:eastAsia="Times New Roman" w:cs="Times New Roman"/>
          <w:szCs w:val="20"/>
          <w:lang w:val="en-GB"/>
        </w:rPr>
        <w:t xml:space="preserve"> (Rel-15), source: Nokia, Nokia Shanghai Bell</w:t>
      </w:r>
      <w:r w:rsidRPr="009236C3" w:rsidDel="00C651B9">
        <w:rPr>
          <w:rFonts w:eastAsia="Times New Roman" w:cs="Times New Roman"/>
          <w:szCs w:val="20"/>
          <w:lang w:val="en-GB"/>
        </w:rPr>
        <w:t xml:space="preserve"> </w:t>
      </w:r>
    </w:p>
    <w:p w:rsidR="003B659E" w:rsidRDefault="003B659E" w:rsidP="00841BCD">
      <w:pPr>
        <w:ind w:right="-22"/>
        <w:rPr>
          <w:lang w:val="en-GB"/>
        </w:rPr>
      </w:pPr>
    </w:p>
    <w:sectPr w:rsidR="003B659E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440" w:rsidRDefault="00E51440" w:rsidP="00001C9B">
      <w:pPr>
        <w:spacing w:after="0" w:line="240" w:lineRule="auto"/>
      </w:pPr>
      <w:r>
        <w:separator/>
      </w:r>
    </w:p>
  </w:endnote>
  <w:endnote w:type="continuationSeparator" w:id="0">
    <w:p w:rsidR="00E51440" w:rsidRDefault="00E5144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494A" w:rsidRDefault="009849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494A" w:rsidRDefault="00984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440" w:rsidRDefault="00E51440" w:rsidP="00001C9B">
      <w:pPr>
        <w:spacing w:after="0" w:line="240" w:lineRule="auto"/>
      </w:pPr>
      <w:r>
        <w:separator/>
      </w:r>
    </w:p>
  </w:footnote>
  <w:footnote w:type="continuationSeparator" w:id="0">
    <w:p w:rsidR="00E51440" w:rsidRDefault="00E5144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62CF3"/>
    <w:rsid w:val="0008612A"/>
    <w:rsid w:val="000B0056"/>
    <w:rsid w:val="000B3D00"/>
    <w:rsid w:val="00161971"/>
    <w:rsid w:val="001745F8"/>
    <w:rsid w:val="00176671"/>
    <w:rsid w:val="001838CF"/>
    <w:rsid w:val="001C2F6D"/>
    <w:rsid w:val="001E30F6"/>
    <w:rsid w:val="00235F5C"/>
    <w:rsid w:val="0027038C"/>
    <w:rsid w:val="002B4922"/>
    <w:rsid w:val="002C2D19"/>
    <w:rsid w:val="002D10FA"/>
    <w:rsid w:val="002D4C55"/>
    <w:rsid w:val="00351CB5"/>
    <w:rsid w:val="003B659E"/>
    <w:rsid w:val="00417AA0"/>
    <w:rsid w:val="0043750A"/>
    <w:rsid w:val="00480EBB"/>
    <w:rsid w:val="004B7B4A"/>
    <w:rsid w:val="004E006D"/>
    <w:rsid w:val="004E5E66"/>
    <w:rsid w:val="00503B4D"/>
    <w:rsid w:val="00504EE9"/>
    <w:rsid w:val="0054442C"/>
    <w:rsid w:val="00550285"/>
    <w:rsid w:val="005836F8"/>
    <w:rsid w:val="005918FA"/>
    <w:rsid w:val="005D4B8B"/>
    <w:rsid w:val="005D4F5B"/>
    <w:rsid w:val="005E61A8"/>
    <w:rsid w:val="005F6419"/>
    <w:rsid w:val="00617400"/>
    <w:rsid w:val="00664950"/>
    <w:rsid w:val="00683220"/>
    <w:rsid w:val="00687FA0"/>
    <w:rsid w:val="006B7010"/>
    <w:rsid w:val="006F28AC"/>
    <w:rsid w:val="007145FF"/>
    <w:rsid w:val="00751515"/>
    <w:rsid w:val="00785232"/>
    <w:rsid w:val="007C3ED0"/>
    <w:rsid w:val="007E448E"/>
    <w:rsid w:val="00806A76"/>
    <w:rsid w:val="00811C9D"/>
    <w:rsid w:val="00816C80"/>
    <w:rsid w:val="00841BCD"/>
    <w:rsid w:val="008826C1"/>
    <w:rsid w:val="009042BD"/>
    <w:rsid w:val="009475B6"/>
    <w:rsid w:val="0095560C"/>
    <w:rsid w:val="00967205"/>
    <w:rsid w:val="00976ABD"/>
    <w:rsid w:val="00977E1D"/>
    <w:rsid w:val="0098494A"/>
    <w:rsid w:val="00995CDA"/>
    <w:rsid w:val="00A22B78"/>
    <w:rsid w:val="00A25AE5"/>
    <w:rsid w:val="00A37002"/>
    <w:rsid w:val="00AA1B0E"/>
    <w:rsid w:val="00AC5CA7"/>
    <w:rsid w:val="00AE56B1"/>
    <w:rsid w:val="00AF1751"/>
    <w:rsid w:val="00B03C53"/>
    <w:rsid w:val="00B20B2E"/>
    <w:rsid w:val="00B73862"/>
    <w:rsid w:val="00BA6E48"/>
    <w:rsid w:val="00BA724E"/>
    <w:rsid w:val="00BF2218"/>
    <w:rsid w:val="00C562E9"/>
    <w:rsid w:val="00CD7492"/>
    <w:rsid w:val="00CE3A6B"/>
    <w:rsid w:val="00D00211"/>
    <w:rsid w:val="00D06309"/>
    <w:rsid w:val="00D351EA"/>
    <w:rsid w:val="00D358A6"/>
    <w:rsid w:val="00D43403"/>
    <w:rsid w:val="00D62E71"/>
    <w:rsid w:val="00D740CA"/>
    <w:rsid w:val="00D85728"/>
    <w:rsid w:val="00DB32BB"/>
    <w:rsid w:val="00DD555A"/>
    <w:rsid w:val="00DF2997"/>
    <w:rsid w:val="00E51440"/>
    <w:rsid w:val="00EC7BC3"/>
    <w:rsid w:val="00ED7600"/>
    <w:rsid w:val="00EF2A70"/>
    <w:rsid w:val="00F04673"/>
    <w:rsid w:val="00F1362C"/>
    <w:rsid w:val="00F231E7"/>
    <w:rsid w:val="00F461A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58D4B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17C8C-88BE-434A-B5AA-255BC88A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Hofmann, Juergen (Nokia - DE/Munich)</cp:lastModifiedBy>
  <cp:revision>3</cp:revision>
  <dcterms:created xsi:type="dcterms:W3CDTF">2019-04-01T14:58:00Z</dcterms:created>
  <dcterms:modified xsi:type="dcterms:W3CDTF">2019-04-01T16:14:00Z</dcterms:modified>
</cp:coreProperties>
</file>